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filled="t" fillcolor="#ffffff" v:ext="SMDATA_3_WEM/YQIAAACMAAAAAQAAAAAAAAD///8AAAAAAAAAAAAAAAAAAAAAAAAAAAAAAAAAAAAAAAAAAABkAAAAAQAAAEAAAAAAAAAAAAAAAAAAAAAAAAAAAAAAAAAAAAAAAAAAAAAAAAAAAAAAAAAAAAAAAAAAAAAAAAAAAAAAAAAAAAAAAAAAAAAAAAAAAAAAAAAAAAAAAAAAAAAeAAAAaAAAAAAAAAAAAAAAAAAAAAAAAAAAAAAAECcAABAnAAAAAAAAAAAAAAAAAAAAAAAAAAAAAAAAAAAAAAAAAAAAABQAAAAAAAAAwMD/AAAAAABkAAAAMgAAAAAAAABkAAAAAAAAAH9/fwAKAAAAKAAAAAgAAAABAAAAAQAAAA==">
      <v:fill color2="#000000" type="solid" angle="90"/>
    </v:background>
  </w:background>
  <w:body>
    <w:p>
      <w:pPr>
        <w:pStyle w:val="para1"/>
        <w:numPr>
          <w:ilvl w:val="0"/>
          <w:numId w:val="1"/>
        </w:numPr>
        <w:ind w:left="432" w:hanging="432"/>
        <w:spacing w:line="360" w:lineRule="auto"/>
        <w:rPr>
          <w:i w:val="0"/>
        </w:rPr>
      </w:pPr>
      <w:r>
        <w:rPr>
          <w:i w:val="0"/>
        </w:rPr>
        <w:t xml:space="preserve">Viele Gestaltungsmöglichkeiten mit Betonelementen </w:t>
      </w:r>
    </w:p>
    <w:p>
      <w:pPr>
        <w:spacing w:line="360" w:lineRule="auto"/>
        <w:jc w:val="both"/>
        <w:rPr>
          <w:b/>
          <w:i/>
        </w:rPr>
      </w:pPr>
      <w:r>
        <w:rPr>
          <w:b/>
          <w:i/>
        </w:rPr>
      </w:r>
    </w:p>
    <w:p>
      <w:pPr>
        <w:pStyle w:val="para5"/>
        <w:spacing/>
        <w:jc w:val="left"/>
      </w:pPr>
      <w:r>
        <w:t xml:space="preserve">Eine Mauer mit Charakter </w:t>
      </w:r>
    </w:p>
    <w:p>
      <w:pPr>
        <w:pStyle w:val="para5"/>
        <w:rPr>
          <w:sz w:val="22"/>
        </w:rPr>
      </w:pPr>
      <w:r>
        <w:rPr>
          <w:sz w:val="22"/>
        </w:rPr>
      </w:r>
    </w:p>
    <w:p>
      <w:pPr>
        <w:pStyle w:val="para5"/>
        <w:rPr>
          <w:sz w:val="22"/>
        </w:rPr>
      </w:pPr>
      <w:r>
        <w:rPr>
          <w:sz w:val="22"/>
        </w:rPr>
        <w:t>Der heimische Außenbereich ist mehr denn je ein wichtiger Rückzugs- und Erholungsort. Hier lässt es sich entspannen,  werkeln, spielen und mit der Familie oder Freunden zusammensitzen. Im Garten lassen sich mit Mauerelementen schöne abgeschiedene Ecken sowie geschützte Übergänge gestalten. Der gesamte Außenbereich erhält damit auch einen besonderen Charakter. Robuste Betonsteinelemente sehen über Jahre hinweg gut aus und sind äußerst widerstandsfähig gegen äußere Einflüsse.</w:t>
      </w:r>
    </w:p>
    <w:p>
      <w:pPr>
        <w:pStyle w:val="para5"/>
        <w:rPr>
          <w:sz w:val="22"/>
        </w:rPr>
      </w:pPr>
      <w:r>
        <w:rPr>
          <w:sz w:val="22"/>
        </w:rPr>
      </w:r>
    </w:p>
    <w:p>
      <w:pPr>
        <w:pStyle w:val="para9"/>
        <w:spacing w:line="360" w:lineRule="auto"/>
        <w:jc w:val="both"/>
        <w:tabs defTabSz="708">
          <w:tab w:val="clear" w:pos="4536" w:leader="none"/>
          <w:tab w:val="clear" w:pos="9072" w:leader="none"/>
        </w:tabs>
      </w:pPr>
      <w:r>
        <w:t xml:space="preserve">Mauerelemente bieten vielerlei Vorteile: Mit der vertikalen Gestaltungsmöglichkeit lassen sich Beete einfassen oder Hänge abfangen. Terrassen werden mit Mauern schön umrandet und geben der Fläche einen Abschluss. Darüber hinaus sind die Mauerelemente aber auch um dem Garten in kleinere Bereiche zu unterteilen und damit eine ganz eigene Struktur zu geben. So lassen sich ruhige Plätze anlegen, die wie ein eigener Raum im freien wirken. Die Bewohner können auf einer Decke oder Liege ungestört in der Sonne entspannen oder spielen. Grillen oder in fröhlicher Runde beisammen sitzen machen auf solchen Lieblingsplätzen ebenfalls großen Spaß. </w:t>
      </w:r>
    </w:p>
    <w:p>
      <w:pPr>
        <w:pStyle w:val="para9"/>
        <w:spacing w:line="360" w:lineRule="auto"/>
        <w:jc w:val="both"/>
        <w:tabs defTabSz="708">
          <w:tab w:val="clear" w:pos="4536" w:leader="none"/>
          <w:tab w:val="clear" w:pos="9072" w:leader="none"/>
        </w:tabs>
      </w:pPr>
      <w:r/>
    </w:p>
    <w:p>
      <w:pPr>
        <w:pStyle w:val="para9"/>
        <w:spacing w:line="360" w:lineRule="auto"/>
        <w:jc w:val="both"/>
        <w:tabs defTabSz="708">
          <w:tab w:val="clear" w:pos="4536" w:leader="none"/>
          <w:tab w:val="clear" w:pos="9072" w:leader="none"/>
        </w:tabs>
      </w:pPr>
      <w:r>
        <w:t xml:space="preserve">Dabei sehen die Elemente aus Betonstein auch gut aus. Die langen und schmalen Steine des Adina-Mauersystem von Kann sorgen dank ihrem modernen Charakter für eine lebhafte und elegante Optik. Jedes Element hat eine unterschiedliche Sichtseite: So ist sie auf der einen Seite attraktiv gebrochen und auf der anderen feingestrahlt. Dadurch entsteht ein ganz eigener visueller Effekt, der immer wieder aufs Neue fasziniert. Das macht auch die Gestaltung besonders, denn es stehen unterschiedliche Möglichkeiten offen. So können beide Mauerseiten im gemischten Look oder die eine Seite glatt und die Rückseite in gebrochener Optik aufgebaut werden. Natürlich lassen sich auch unterschiedliche Muster anlegen - ganz nach dem Geschmack der Bewohner. Damit erhält der Außenbereich seinen ganz eigenen Charakter. </w:t>
      </w:r>
    </w:p>
    <w:p>
      <w:pPr>
        <w:pStyle w:val="para9"/>
        <w:spacing w:line="360" w:lineRule="auto"/>
        <w:jc w:val="both"/>
        <w:tabs defTabSz="708">
          <w:tab w:val="clear" w:pos="4536" w:leader="none"/>
          <w:tab w:val="clear" w:pos="9072" w:leader="none"/>
        </w:tabs>
      </w:pPr>
      <w:r/>
    </w:p>
    <w:p>
      <w:pPr>
        <w:pStyle w:val="para9"/>
        <w:spacing w:line="360" w:lineRule="auto"/>
        <w:jc w:val="both"/>
        <w:tabs defTabSz="708">
          <w:tab w:val="clear" w:pos="4536" w:leader="none"/>
          <w:tab w:val="clear" w:pos="9072" w:leader="none"/>
        </w:tabs>
      </w:pPr>
      <w:r>
        <w:t>Die Elemente des Adina-Mauersystems sind in</w:t>
      </w:r>
      <w:bookmarkStart w:id="0" w:name="_GoBack"/>
      <w:bookmarkEnd w:id="0"/>
      <w:r>
        <w:t xml:space="preserve"> zwei unterschiedlichen, nuancierten Farbtönen erhältlich. Natürlich und gleichzeitig modern wirken die Mauersteine in „Titangrau“. Eine edle und hochwertige Optik zieht mit der Farbe „Moonlightschwarz“ in den Außenbereich ein. Die frostbeständigen Mauersteine gibt es in zwei schmalen Formaten. Das Grundelement hat das Maß 67,5 x 22,5 x 10 Zentimeter. Die Maße für das Halbelement betragen 33,75 x 22,5 x 10 Zentimeter. So sind Aufbauhöhen von einem Meter problemlos möglich. Weitere Inspirationen gibt es unter </w:t>
      </w:r>
      <w:hyperlink r:id="rId8" w:history="1">
        <w:r>
          <w:rPr>
            <w:color w:val="0000ff"/>
            <w:u w:color="auto" w:val="single"/>
          </w:rPr>
          <w:t>www.kann.de</w:t>
        </w:r>
        <w:r>
          <w:t>. Dort kann auch nach dem nächstgelegenen Händler gesucht werden.</w:t>
        </w:r>
      </w:hyperlink>
    </w:p>
    <w:p>
      <w:pPr>
        <w:widowControl w:val="0"/>
        <w:rPr>
          <w:rFonts w:ascii="Times New Roman" w:hAnsi="Times New Roman" w:eastAsia="SimSun" w:cs="Times New Roman"/>
          <w:color w:val="000000"/>
          <w:kern w:val="1"/>
          <w:sz w:val="24"/>
        </w:rPr>
      </w:pPr>
      <w:r>
        <w:rPr>
          <w:rFonts w:ascii="Times New Roman" w:hAnsi="Times New Roman" w:eastAsia="SimSun" w:cs="Times New Roman"/>
          <w:color w:val="000000"/>
          <w:kern w:val="1"/>
          <w:sz w:val="24"/>
        </w:rPr>
      </w:r>
    </w:p>
    <w:p>
      <w:pPr>
        <w:widowControl w:val="0"/>
        <w:rPr>
          <w:rFonts w:ascii="Times New Roman" w:hAnsi="Times New Roman" w:eastAsia="SimSun" w:cs="Times New Roman"/>
          <w:color w:val="000000"/>
          <w:kern w:val="1"/>
          <w:sz w:val="24"/>
        </w:rPr>
      </w:pPr>
      <w:r>
        <w:rPr>
          <w:rFonts w:ascii="Times New Roman" w:hAnsi="Times New Roman" w:eastAsia="SimSun" w:cs="Times New Roman"/>
          <w:color w:val="000000"/>
          <w:kern w:val="1"/>
          <w:sz w:val="24"/>
        </w:rPr>
      </w:r>
    </w:p>
    <w:p>
      <w:pPr>
        <w:widowControl w:val="0"/>
        <w:rPr>
          <w:rFonts w:ascii="Times New Roman" w:hAnsi="Times New Roman" w:eastAsia="SimSun" w:cs="Times New Roman"/>
          <w:color w:val="000000"/>
          <w:kern w:val="1"/>
          <w:sz w:val="24"/>
        </w:rPr>
      </w:pPr>
      <w:r>
        <w:rPr>
          <w:rFonts w:ascii="Times New Roman" w:hAnsi="Times New Roman" w:eastAsia="SimSun" w:cs="Times New Roman"/>
          <w:color w:val="000000"/>
          <w:kern w:val="1"/>
          <w:sz w:val="24"/>
        </w:rPr>
      </w:r>
    </w:p>
    <w:p>
      <w:pPr>
        <w:pStyle w:val="para9"/>
        <w:spacing w:line="360" w:lineRule="auto"/>
        <w:jc w:val="both"/>
        <w:tabs defTabSz="708">
          <w:tab w:val="clear" w:pos="4536" w:leader="none"/>
          <w:tab w:val="clear" w:pos="9072" w:leader="none"/>
        </w:tabs>
      </w:pPr>
      <w:r/>
    </w:p>
    <w:p>
      <w:pPr>
        <w:pStyle w:val="para9"/>
        <w:spacing w:line="360" w:lineRule="auto"/>
        <w:jc w:val="both"/>
        <w:tabs defTabSz="708">
          <w:tab w:val="clear" w:pos="4536" w:leader="none"/>
          <w:tab w:val="clear" w:pos="9072" w:leader="none"/>
        </w:tabs>
      </w:pPr>
      <w:r/>
    </w:p>
    <w:p>
      <w:pPr>
        <w:spacing w:after="15"/>
        <w:widowControl w:val="0"/>
        <w:rPr>
          <w:rFonts w:ascii="Times New Roman" w:hAnsi="Times New Roman" w:eastAsia="SimSun" w:cs="Times New Roman"/>
          <w:color w:val="000000"/>
          <w:kern w:val="1"/>
          <w:sz w:val="24"/>
        </w:rPr>
      </w:pPr>
      <w:r>
        <w:rPr>
          <w:rFonts w:ascii="Times New Roman" w:hAnsi="Times New Roman" w:eastAsia="SimSun" w:cs="Times New Roman"/>
          <w:color w:val="000000"/>
          <w:kern w:val="1"/>
          <w:sz w:val="24"/>
        </w:rPr>
      </w:r>
    </w:p>
    <w:p>
      <w:pPr>
        <w:pStyle w:val="para9"/>
        <w:spacing w:line="360" w:lineRule="auto"/>
        <w:jc w:val="both"/>
        <w:tabs defTabSz="708">
          <w:tab w:val="clear" w:pos="4536" w:leader="none"/>
          <w:tab w:val="clear" w:pos="9072" w:leader="none"/>
        </w:tabs>
      </w:pPr>
      <w:r/>
    </w:p>
    <w:p>
      <w:pPr>
        <w:pStyle w:val="para9"/>
        <w:spacing w:line="360" w:lineRule="auto"/>
        <w:jc w:val="both"/>
        <w:rPr>
          <w:i/>
        </w:rPr>
      </w:pPr>
      <w:r>
        <w:rPr>
          <w:i/>
        </w:rPr>
        <w:t>Kurzfassung:</w:t>
      </w:r>
    </w:p>
    <w:p>
      <w:pPr>
        <w:pStyle w:val="para9"/>
        <w:spacing w:line="360" w:lineRule="auto"/>
        <w:jc w:val="both"/>
        <w:rPr>
          <w:i/>
        </w:rPr>
      </w:pPr>
      <w:r>
        <w:rPr>
          <w:i/>
        </w:rPr>
      </w:r>
    </w:p>
    <w:p>
      <w:pPr>
        <w:pStyle w:val="para9"/>
        <w:spacing w:line="360" w:lineRule="auto"/>
        <w:jc w:val="both"/>
      </w:pPr>
      <w:r>
        <w:t xml:space="preserve">Mauern geben dem Außenbereich Struktur und sorgen für Abwechslung. Mit den Elementen lassen sich Beete einfassen oder Hänge abfangen. Terrassen werden mit Mauern schön umrandet und geben jeder Fläche einen Abschluss. Darüber hinaus können Gartenbesitzer mit Mauersteinen auch kleine „Räume“ und ruhige Lieblingsplätze im heimischen Grün schaffen. Die Bewohner können auf einer Decke oder Liege ungestört in der Sonne entspannen oder spielen. Grillen oder in fröhlicher Runde beisammen sitzen machen auf solchen Lieblingsplätzen ebenfalls großen Spaß. Robust und ein optischer Hingucker sind Mauersyteme aus Betonstein wie die Adina-Mauer von Kann. Jedes der schlanken Elemente hat eine unterschiedliche Sichtseite: So ist sie auf der einen Seite attraktiv gebrochen und auf der anderen feingestrahlt. Dadurch entsteht ein besonderer visueller Effekt, der immer wieder aufs Neue fasziniert. Darum lassen sich die Mauern ganz abwechslungsreich gestalten. Zudem stehen mit „Titangrau“ und „Moonlightschwarz“ zwei nuancierte, edle Farbtöne zur Verfügung. Die schmalen und eleganten Elemente sind in den Formaten 67,5 x 22,5 x 10 Zentimeter sowie 33,75 x 22,5 x 10 Zentimeter erhältlich. So ist eine Aufbauhöhe von einem Meter problemlos möglich. Weitere Inspirationen zur Adina-Mauer gibt es unter </w:t>
      </w:r>
      <w:hyperlink r:id="rId8" w:history="1">
        <w:r>
          <w:rPr>
            <w:rStyle w:val="char11"/>
          </w:rPr>
          <w:t>www.kann.de</w:t>
        </w:r>
      </w:hyperlink>
      <w:r>
        <w:t xml:space="preserve">.  </w:t>
      </w:r>
    </w:p>
    <w:p>
      <w:pPr>
        <w:pStyle w:val="para9"/>
        <w:spacing w:line="360" w:lineRule="auto"/>
        <w:jc w:val="both"/>
        <w:rPr>
          <w:i/>
        </w:rPr>
      </w:pPr>
      <w:r>
        <w:rPr>
          <w:i/>
        </w:rPr>
      </w:r>
    </w:p>
    <w:p>
      <w:pPr>
        <w:pStyle w:val="para9"/>
        <w:spacing w:line="360" w:lineRule="auto"/>
        <w:jc w:val="both"/>
        <w:rPr>
          <w:i/>
        </w:rPr>
      </w:pPr>
      <w:r>
        <w:rPr>
          <w:i/>
        </w:rPr>
      </w:r>
    </w:p>
    <w:p>
      <w:pPr>
        <w:pStyle w:val="para9"/>
        <w:spacing w:line="360" w:lineRule="auto"/>
        <w:jc w:val="both"/>
        <w:rPr>
          <w:i/>
        </w:rPr>
      </w:pPr>
      <w:r>
        <w:rPr>
          <w:i/>
        </w:rPr>
      </w:r>
    </w:p>
    <w:p>
      <w:pPr>
        <w:pStyle w:val="para9"/>
        <w:spacing w:line="360" w:lineRule="auto"/>
        <w:jc w:val="both"/>
        <w:rPr>
          <w:i/>
        </w:rPr>
      </w:pPr>
      <w:r>
        <w:rPr>
          <w:i/>
        </w:rPr>
      </w:r>
    </w:p>
    <w:p>
      <w:pPr>
        <w:pStyle w:val="para9"/>
        <w:spacing w:line="360" w:lineRule="auto"/>
        <w:jc w:val="both"/>
        <w:rPr>
          <w:i/>
        </w:rPr>
      </w:pPr>
      <w:r>
        <w:rPr>
          <w:i/>
        </w:rPr>
      </w:r>
    </w:p>
    <w:p>
      <w:pPr>
        <w:pStyle w:val="para9"/>
        <w:spacing w:line="360" w:lineRule="auto"/>
        <w:jc w:val="both"/>
        <w:rPr>
          <w:i/>
        </w:rPr>
      </w:pPr>
      <w:r>
        <w:t>Bildunterschriften:</w:t>
      </w:r>
      <w:r>
        <w:rPr>
          <w:i/>
        </w:rPr>
      </w:r>
    </w:p>
    <w:p>
      <w:pPr>
        <w:pStyle w:val="para9"/>
        <w:spacing w:line="360" w:lineRule="auto"/>
        <w:jc w:val="both"/>
        <w:rPr>
          <w:i/>
        </w:rPr>
      </w:pPr>
      <w:r>
        <w:rPr>
          <w:i/>
        </w:rPr>
      </w:r>
    </w:p>
    <w:p>
      <w:pPr>
        <w:pStyle w:val="para9"/>
        <w:spacing w:line="360" w:lineRule="auto"/>
        <w:jc w:val="both"/>
      </w:pPr>
      <w:r>
        <w:t xml:space="preserve">Das Adina-Mauersystem aus robustem Betonstein ist in zwei Farbtönen mit zwei unterschiedlichen Sichtseiten erhältlich. Eine Seite ist gebrochen und die andere feingestrahlt. Zudem gibt es die Mauersteine in zwei verschiedenen nuancierten Farbtönen und Formaten. Dem Gestaltungsspielraum sind somit kaum Grenzen gesetzt und es lassen sich zahlreiche schöne Plätze im heimischen Außenbereich anlegen. </w:t>
      </w:r>
    </w:p>
    <w:p>
      <w:pPr>
        <w:pStyle w:val="para9"/>
        <w:spacing w:line="360" w:lineRule="auto"/>
        <w:jc w:val="both"/>
        <w:rPr>
          <w:b/>
          <w:bCs/>
          <w:i/>
        </w:rPr>
      </w:pPr>
      <w:r>
        <w:rPr>
          <w:b/>
          <w:bCs/>
          <w:i/>
        </w:rPr>
      </w:r>
    </w:p>
    <w:p>
      <w:pPr>
        <w:pStyle w:val="para9"/>
        <w:spacing w:line="360" w:lineRule="auto"/>
        <w:jc w:val="both"/>
        <w:rPr>
          <w:b/>
          <w:bCs/>
          <w:i/>
        </w:rPr>
      </w:pPr>
      <w:r>
        <w:rPr>
          <w:b/>
          <w:bCs/>
          <w:i/>
        </w:rPr>
        <w:t>Adina-Mauer im Farbton Moonlightschwarz</w:t>
      </w:r>
      <w:r>
        <w:rPr>
          <w:b/>
          <w:bCs/>
          <w:i/>
        </w:rPr>
        <w:t>:</w:t>
      </w:r>
      <w:r>
        <w:rPr>
          <w:b/>
          <w:bCs/>
          <w:i/>
        </w:rPr>
      </w:r>
    </w:p>
    <w:p>
      <w:pPr>
        <w:pStyle w:val="para9"/>
        <w:spacing w:line="360" w:lineRule="auto"/>
        <w:jc w:val="both"/>
      </w:pPr>
      <w:r>
        <w:rPr>
          <w:noProof/>
        </w:rPr>
        <w:drawing>
          <wp:inline distT="0" distB="0" distL="0" distR="0">
            <wp:extent cx="2345055" cy="1885950"/>
            <wp:effectExtent l="0" t="0" r="0" b="0"/>
            <wp:docPr id="1" name="Graf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5"/>
                    <pic:cNvPicPr>
                      <a:picLocks noChangeAspect="1"/>
                      <a:extLst>
                        <a:ext uri="smNativeData">
                          <sm:smNativeData xmlns:sm="smNativeData" val="SMDATA_14_WEM/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8AAAAHoAAAAAAAAAAAAAAAAAAAAAAAAAAAAAAAAAAAAAAAAAAAAABtDgAAmgsAAAAAAAAAAAAAAAAAACgAAAAIAAAAAQAAAAEAAAA="/>
                        </a:ext>
                      </a:extLst>
                    </pic:cNvPicPr>
                  </pic:nvPicPr>
                  <pic:blipFill>
                    <a:blip r:embed="rId9"/>
                    <a:stretch>
                      <a:fillRect/>
                    </a:stretch>
                  </pic:blipFill>
                  <pic:spPr>
                    <a:xfrm>
                      <a:off x="0" y="0"/>
                      <a:ext cx="2345055" cy="1885950"/>
                    </a:xfrm>
                    <a:prstGeom prst="rect">
                      <a:avLst/>
                    </a:prstGeom>
                    <a:noFill/>
                    <a:ln w="12700">
                      <a:noFill/>
                    </a:ln>
                  </pic:spPr>
                </pic:pic>
              </a:graphicData>
            </a:graphic>
          </wp:inline>
        </w:drawing>
      </w:r>
      <w:r/>
    </w:p>
    <w:p>
      <w:pPr>
        <w:pStyle w:val="para9"/>
        <w:spacing w:line="360" w:lineRule="auto"/>
        <w:jc w:val="both"/>
      </w:pPr>
      <w:r>
        <w:rPr>
          <w:noProof/>
        </w:rPr>
        <w:drawing>
          <wp:inline distT="0" distB="0" distL="0" distR="0">
            <wp:extent cx="2382520" cy="1543050"/>
            <wp:effectExtent l="0" t="0" r="0" b="0"/>
            <wp:docPr id="2" name="Graf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4"/>
                    <pic:cNvPicPr>
                      <a:picLocks noChangeAspect="1"/>
                      <a:extLst>
                        <a:ext uri="smNativeData">
                          <sm:smNativeData xmlns:sm="smNativeData" val="SMDATA_14_WEM/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AAAAAHoAAAAAAAAAAAAAAAAAAAAAAAAAAAAAAAAAAAAAAAAAAAAACoDgAAfgkAAAAAAAAAAAAAAAAAACgAAAAIAAAAAQAAAAEAAAA="/>
                        </a:ext>
                      </a:extLst>
                    </pic:cNvPicPr>
                  </pic:nvPicPr>
                  <pic:blipFill>
                    <a:blip r:embed="rId10"/>
                    <a:stretch>
                      <a:fillRect/>
                    </a:stretch>
                  </pic:blipFill>
                  <pic:spPr>
                    <a:xfrm>
                      <a:off x="0" y="0"/>
                      <a:ext cx="2382520" cy="1543050"/>
                    </a:xfrm>
                    <a:prstGeom prst="rect">
                      <a:avLst/>
                    </a:prstGeom>
                    <a:noFill/>
                    <a:ln w="12700">
                      <a:noFill/>
                    </a:ln>
                  </pic:spPr>
                </pic:pic>
              </a:graphicData>
            </a:graphic>
          </wp:inline>
        </w:drawing>
      </w:r>
      <w:r/>
    </w:p>
    <w:p>
      <w:pPr>
        <w:pStyle w:val="para9"/>
        <w:spacing w:line="360" w:lineRule="auto"/>
        <w:jc w:val="both"/>
        <w:rPr>
          <w:i/>
        </w:rPr>
      </w:pPr>
      <w:r>
        <w:rPr>
          <w:i/>
        </w:rPr>
        <w:t>Das Adina-Mauersystem mit einem klassisch-gemischten Aufbau.</w:t>
      </w:r>
    </w:p>
    <w:p>
      <w:pPr>
        <w:pStyle w:val="para9"/>
        <w:spacing w:line="360" w:lineRule="auto"/>
        <w:jc w:val="both"/>
      </w:pPr>
      <w:r>
        <w:t>.</w:t>
      </w:r>
      <w:r>
        <w:rPr>
          <w:noProof/>
        </w:rPr>
        <w:drawing>
          <wp:inline distT="0" distB="0" distL="0" distR="0">
            <wp:extent cx="2573020" cy="1691640"/>
            <wp:effectExtent l="0" t="0" r="0" b="0"/>
            <wp:docPr id="3" name="Grafik3"/>
            <wp:cNvGraphicFramePr/>
            <a:graphic xmlns:a="http://schemas.openxmlformats.org/drawingml/2006/main">
              <a:graphicData uri="http://schemas.openxmlformats.org/drawingml/2006/picture">
                <pic:pic xmlns:pic="http://schemas.openxmlformats.org/drawingml/2006/picture">
                  <pic:nvPicPr>
                    <pic:cNvPr id="3" name="Grafik3"/>
                    <pic:cNvPicPr>
                      <a:extLst>
                        <a:ext uri="smNativeData">
                          <sm:smNativeData xmlns:sm="smNativeData" val="SMDATA_14_WEM/Y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IAAAAHoAAAAAAAAAAAAAAAAAAAAAAAAAAAAAAAAAAAAAAAAAAAAADUDwAAaAoAAAAAAAAAAAAAAAAAACgAAAAIAAAAAQAAAAEAAAA="/>
                        </a:ext>
                      </a:extLst>
                    </pic:cNvPicPr>
                  </pic:nvPicPr>
                  <pic:blipFill>
                    <a:blip r:embed="rId11"/>
                    <a:stretch>
                      <a:fillRect/>
                    </a:stretch>
                  </pic:blipFill>
                  <pic:spPr>
                    <a:xfrm>
                      <a:off x="0" y="0"/>
                      <a:ext cx="2573020" cy="1691640"/>
                    </a:xfrm>
                    <a:prstGeom prst="rect">
                      <a:avLst/>
                    </a:prstGeom>
                    <a:noFill/>
                    <a:ln w="12700">
                      <a:noFill/>
                    </a:ln>
                  </pic:spPr>
                </pic:pic>
              </a:graphicData>
            </a:graphic>
          </wp:inline>
        </w:drawing>
      </w:r>
      <w:r/>
    </w:p>
    <w:p>
      <w:pPr>
        <w:pStyle w:val="para9"/>
        <w:spacing w:line="360" w:lineRule="auto"/>
        <w:jc w:val="both"/>
        <w:rPr>
          <w:i/>
          <w:iCs/>
        </w:rPr>
      </w:pPr>
      <w:r>
        <w:rPr>
          <w:i/>
          <w:iCs/>
        </w:rPr>
        <w:t>Das Adina-Mauersytem</w:t>
      </w:r>
      <w:r>
        <w:rPr>
          <w:i/>
          <w:iCs/>
        </w:rPr>
        <w:t xml:space="preserve"> im linearen Aufbau.</w:t>
      </w:r>
      <w:r>
        <w:rPr>
          <w:i/>
          <w:iCs/>
        </w:rPr>
      </w:r>
    </w:p>
    <w:p>
      <w:pPr>
        <w:pStyle w:val="para9"/>
        <w:spacing w:line="360" w:lineRule="auto"/>
        <w:jc w:val="both"/>
        <w:rPr>
          <w:b/>
          <w:bCs/>
          <w:i/>
        </w:rPr>
      </w:pPr>
      <w:r>
        <w:rPr>
          <w:b/>
          <w:bCs/>
          <w:i/>
        </w:rPr>
      </w:r>
    </w:p>
    <w:p>
      <w:pPr>
        <w:pStyle w:val="para9"/>
        <w:spacing w:line="360" w:lineRule="auto"/>
        <w:jc w:val="both"/>
        <w:rPr>
          <w:b/>
          <w:bCs/>
          <w:i/>
        </w:rPr>
      </w:pPr>
      <w:r>
        <w:rPr>
          <w:b/>
          <w:bCs/>
          <w:i/>
        </w:rPr>
        <w:t>Adina-Mauer im Farbton Titangrau:</w:t>
      </w:r>
      <w:r>
        <w:rPr>
          <w:b/>
          <w:bCs/>
          <w:i/>
        </w:rPr>
      </w:r>
    </w:p>
    <w:p>
      <w:pPr>
        <w:pStyle w:val="para9"/>
        <w:spacing w:line="360" w:lineRule="auto"/>
        <w:jc w:val="both"/>
      </w:pPr>
      <w:r>
        <w:rPr>
          <w:noProof/>
        </w:rPr>
        <w:drawing>
          <wp:inline distT="0" distB="0" distL="0" distR="0">
            <wp:extent cx="2509520" cy="2011680"/>
            <wp:effectExtent l="0" t="0" r="0" b="0"/>
            <wp:docPr id="4"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2"/>
                    <pic:cNvPicPr>
                      <a:picLocks noChangeAspect="1"/>
                      <a:extLst>
                        <a:ext uri="smNativeData">
                          <sm:smNativeData xmlns:sm="smNativeData" val="SMDATA_14_WEM/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YAAAAHoAAAAAAAAAAAAAAAAAAAAAAAAAAAAAAAAAAAAAAAAAAAAABwDwAAYAwAAAAAAAAAAAAAAAAAACgAAAAIAAAAAQAAAAEAAAA="/>
                        </a:ext>
                      </a:extLst>
                    </pic:cNvPicPr>
                  </pic:nvPicPr>
                  <pic:blipFill>
                    <a:blip r:embed="rId12"/>
                    <a:stretch>
                      <a:fillRect/>
                    </a:stretch>
                  </pic:blipFill>
                  <pic:spPr>
                    <a:xfrm>
                      <a:off x="0" y="0"/>
                      <a:ext cx="2509520" cy="2011680"/>
                    </a:xfrm>
                    <a:prstGeom prst="rect">
                      <a:avLst/>
                    </a:prstGeom>
                    <a:noFill/>
                    <a:ln w="12700">
                      <a:noFill/>
                    </a:ln>
                  </pic:spPr>
                </pic:pic>
              </a:graphicData>
            </a:graphic>
          </wp:inline>
        </w:drawing>
      </w:r>
      <w:r/>
    </w:p>
    <w:p>
      <w:pPr>
        <w:pStyle w:val="para9"/>
        <w:spacing w:line="360" w:lineRule="auto"/>
        <w:jc w:val="both"/>
        <w:rPr>
          <w:i/>
          <w:iCs/>
        </w:rPr>
      </w:pPr>
      <w:r>
        <w:rPr>
          <w:i/>
          <w:iCs/>
        </w:rPr>
        <w:t>Das Adina-Mauersystem im gemischten Aufbau.</w:t>
      </w:r>
    </w:p>
    <w:p>
      <w:pPr>
        <w:pStyle w:val="para9"/>
        <w:spacing w:line="360" w:lineRule="auto"/>
        <w:jc w:val="both"/>
        <w:rPr>
          <w:i/>
          <w:iCs/>
        </w:rPr>
      </w:pPr>
      <w:r>
        <w:rPr>
          <w:i/>
          <w:iCs/>
        </w:rPr>
      </w:r>
    </w:p>
    <w:p>
      <w:pPr>
        <w:pStyle w:val="para9"/>
        <w:spacing w:line="360" w:lineRule="auto"/>
        <w:jc w:val="both"/>
        <w:rPr>
          <w:i/>
          <w:iCs/>
        </w:rPr>
      </w:pPr>
      <w:r>
        <w:rPr>
          <w:i/>
          <w:iCs/>
        </w:rPr>
      </w:r>
    </w:p>
    <w:p>
      <w:pPr>
        <w:pStyle w:val="para9"/>
        <w:spacing w:line="360" w:lineRule="auto"/>
        <w:jc w:val="both"/>
      </w:pPr>
      <w:r>
        <w:rPr>
          <w:noProof/>
        </w:rPr>
        <w:drawing>
          <wp:inline distT="0" distB="0" distL="0" distR="0">
            <wp:extent cx="2611755" cy="1725930"/>
            <wp:effectExtent l="0" t="0" r="0" b="0"/>
            <wp:docPr id="5"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1"/>
                    <pic:cNvPicPr>
                      <a:picLocks noChangeAspect="1"/>
                      <a:extLst>
                        <a:ext uri="smNativeData">
                          <sm:smNativeData xmlns:sm="smNativeData" val="SMDATA_14_WEM/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oAAAAHoAAAAAAAAAAAAAAAAAAAAAAAAAAAAAAAAAAAAAAAAAAAAAAREAAAngoAAAAAAAAAAAAAAAAAACgAAAAIAAAAAQAAAAEAAAA="/>
                        </a:ext>
                      </a:extLst>
                    </pic:cNvPicPr>
                  </pic:nvPicPr>
                  <pic:blipFill>
                    <a:blip r:embed="rId13"/>
                    <a:stretch>
                      <a:fillRect/>
                    </a:stretch>
                  </pic:blipFill>
                  <pic:spPr>
                    <a:xfrm>
                      <a:off x="0" y="0"/>
                      <a:ext cx="2611755" cy="1725930"/>
                    </a:xfrm>
                    <a:prstGeom prst="rect">
                      <a:avLst/>
                    </a:prstGeom>
                    <a:noFill/>
                    <a:ln w="12700">
                      <a:noFill/>
                    </a:ln>
                  </pic:spPr>
                </pic:pic>
              </a:graphicData>
            </a:graphic>
          </wp:inline>
        </w:drawing>
      </w:r>
      <w:r/>
    </w:p>
    <w:p>
      <w:pPr>
        <w:pStyle w:val="para9"/>
        <w:spacing w:line="360" w:lineRule="auto"/>
        <w:jc w:val="both"/>
        <w:rPr>
          <w:i/>
          <w:iCs/>
        </w:rPr>
      </w:pPr>
      <w:r>
        <w:rPr>
          <w:i/>
          <w:iCs/>
        </w:rPr>
        <w:t>Das Adina-Mauersystem mit rein feingestrahlter Optik auf der einen Sic</w:t>
      </w:r>
      <w:r>
        <w:rPr>
          <w:i/>
          <w:iCs/>
        </w:rPr>
        <w:t>htseite.</w:t>
      </w:r>
      <w:r>
        <w:rPr>
          <w:i/>
          <w:iCs/>
        </w:rPr>
        <w:t xml:space="preserve"> </w:t>
      </w:r>
      <w:r>
        <w:rPr>
          <w:i/>
          <w:iCs/>
        </w:rPr>
      </w:r>
    </w:p>
    <w:p>
      <w:pPr>
        <w:pStyle w:val="para9"/>
        <w:spacing w:line="360" w:lineRule="auto"/>
        <w:jc w:val="both"/>
        <w:tabs defTabSz="708">
          <w:tab w:val="clear" w:pos="4536" w:leader="none"/>
          <w:tab w:val="clear" w:pos="9072" w:leader="none"/>
        </w:tabs>
        <w:rPr>
          <w:sz w:val="20"/>
          <w:u w:color="auto" w:val="single"/>
        </w:rPr>
      </w:pPr>
      <w:r>
        <w:rPr>
          <w:sz w:val="20"/>
          <w:u w:color="auto" w:val="single"/>
        </w:rPr>
      </w:r>
    </w:p>
    <w:p>
      <w:pPr>
        <w:pStyle w:val="para9"/>
        <w:spacing w:line="360" w:lineRule="auto"/>
        <w:jc w:val="both"/>
        <w:tabs defTabSz="708">
          <w:tab w:val="clear" w:pos="4536" w:leader="none"/>
          <w:tab w:val="clear" w:pos="9072" w:leader="none"/>
        </w:tabs>
        <w:rPr>
          <w:sz w:val="20"/>
          <w:u w:color="auto" w:val="single"/>
        </w:rPr>
      </w:pPr>
      <w:r>
        <w:t xml:space="preserve">Fotos: Kann </w:t>
      </w:r>
      <w:r>
        <w:rPr>
          <w:sz w:val="20"/>
          <w:u w:color="auto" w:val="single"/>
        </w:rPr>
      </w:r>
    </w:p>
    <w:p>
      <w:pPr>
        <w:pStyle w:val="para9"/>
        <w:spacing w:line="360" w:lineRule="auto"/>
        <w:jc w:val="both"/>
        <w:tabs defTabSz="708">
          <w:tab w:val="clear" w:pos="4536" w:leader="none"/>
          <w:tab w:val="clear" w:pos="9072" w:leader="none"/>
        </w:tabs>
        <w:rPr>
          <w:sz w:val="20"/>
          <w:u w:color="auto" w:val="single"/>
        </w:rPr>
      </w:pPr>
      <w:r>
        <w:rPr>
          <w:sz w:val="20"/>
          <w:u w:color="auto" w:val="single"/>
        </w:rPr>
      </w:r>
    </w:p>
    <w:p>
      <w:pPr>
        <w:pStyle w:val="para9"/>
        <w:spacing w:line="360" w:lineRule="auto"/>
        <w:jc w:val="both"/>
        <w:tabs defTabSz="708">
          <w:tab w:val="clear" w:pos="4536" w:leader="none"/>
          <w:tab w:val="clear" w:pos="9072" w:leader="none"/>
        </w:tabs>
        <w:rPr>
          <w:i/>
        </w:rPr>
      </w:pPr>
      <w:r>
        <w:rPr>
          <w:i/>
        </w:rPr>
        <w:t xml:space="preserve">Text und Bildmaterial stehen zum Download unter www.ju-ca.com </w:t>
      </w:r>
    </w:p>
    <w:p>
      <w:pPr>
        <w:pStyle w:val="para9"/>
        <w:spacing w:line="360" w:lineRule="auto"/>
        <w:jc w:val="both"/>
        <w:tabs defTabSz="708">
          <w:tab w:val="clear" w:pos="4536" w:leader="none"/>
          <w:tab w:val="clear" w:pos="9072" w:leader="none"/>
        </w:tabs>
        <w:rPr>
          <w:i/>
        </w:rPr>
      </w:pPr>
      <w:r>
        <w:rPr>
          <w:i/>
        </w:rPr>
        <w:t xml:space="preserve">im Bereich „Kommunizieren / Ausdrücke“ zur Verfügung. </w:t>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tabs defTabSz="708">
          <w:tab w:val="clear" w:pos="4536" w:leader="none"/>
          <w:tab w:val="clear" w:pos="9072" w:leader="none"/>
        </w:tabs>
        <w:rPr>
          <w:i/>
        </w:rPr>
      </w:pPr>
      <w:r>
        <w:rPr>
          <w:i/>
        </w:rPr>
      </w:r>
    </w:p>
    <w:p>
      <w:pPr>
        <w:pStyle w:val="para9"/>
        <w:spacing w:line="360" w:lineRule="auto"/>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pPr>
      <w:r>
        <w:rPr>
          <w:u w:color="auto" w:val="single"/>
        </w:rPr>
        <w:t>Über das Unternehmen:</w:t>
      </w:r>
      <w:r/>
    </w:p>
    <w:p>
      <w:pPr>
        <w:pStyle w:val="para9"/>
        <w:spacing w:line="360" w:lineRule="auto"/>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pPr>
      <w:r/>
    </w:p>
    <w:p>
      <w:pPr>
        <w:pStyle w:val="para9"/>
        <w:spacing w:line="360" w:lineRule="auto"/>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pPr>
      <w:r>
        <w:t>Die KANN GmbH Baustoffwerke gehört zur KANN Gruppe. Diese zählt in Deutschland zu den führenden Herstellern von</w:t>
      </w:r>
    </w:p>
    <w:p>
      <w:pPr>
        <w:pStyle w:val="para9"/>
        <w:spacing w:line="360" w:lineRule="auto"/>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pPr>
      <w:r>
        <w:t>Betonprodukten. Die Angebotspalette erstreckt sich von Rohstoffen über Transportbeton, Logistikdienstleistungen und die Produktion von Fertigteilen für den Industrie- und Gewerbebau bis hin zu hochwertigen Produkten für den Straßen-, Garten- und Landschaftsbau wie sie die KANN GmbH Baustoffwerke herstellt. Bundesweit sind für die Gruppe rund 1.200 Mitarbeiter beschäftigt.</w:t>
      </w:r>
    </w:p>
    <w:p>
      <w:pPr>
        <w:pStyle w:val="para9"/>
        <w:spacing/>
        <w:jc w:val="both"/>
        <w:tabs defTabSz="708">
          <w:tab w:val="clear" w:pos="4536" w:leader="none"/>
          <w:tab w:val="clear" w:pos="9072" w:leader="none"/>
        </w:tabs>
      </w:pPr>
      <w:r>
        <w:t>Ansprechpartner:</w:t>
      </w:r>
    </w:p>
    <w:p>
      <w:pPr>
        <w:pStyle w:val="para10"/>
        <w:tabs defTabSz="708">
          <w:tab w:val="left" w:pos="709" w:leader="none"/>
          <w:tab w:val="center" w:pos="4536" w:leader="none"/>
          <w:tab w:val="right" w:pos="9072" w:leader="none"/>
        </w:tabs>
        <w:rPr>
          <w:sz w:val="18"/>
        </w:rPr>
      </w:pPr>
      <w:r>
        <w:rPr>
          <w:noProof/>
        </w:rPr>
        <mc:AlternateContent>
          <mc:Choice Requires="wps">
            <w:drawing>
              <wp:anchor distT="0" distB="0" distL="114935" distR="114935" simplePos="0" relativeHeight="251658246" behindDoc="0" locked="0" layoutInCell="0" hidden="0" allowOverlap="1">
                <wp:simplePos x="0" y="0"/>
                <wp:positionH relativeFrom="column">
                  <wp:posOffset>-93980</wp:posOffset>
                </wp:positionH>
                <wp:positionV relativeFrom="paragraph">
                  <wp:posOffset>110490</wp:posOffset>
                </wp:positionV>
                <wp:extent cx="1919605" cy="1553845"/>
                <wp:effectExtent l="0" t="0" r="0" b="0"/>
                <wp:wrapNone/>
                <wp:docPr id="6" name="Textbox2"/>
                <wp:cNvGraphicFramePr/>
                <a:graphic xmlns:a="http://schemas.openxmlformats.org/drawingml/2006/main">
                  <a:graphicData uri="http://schemas.microsoft.com/office/word/2010/wordprocessingShape">
                    <wps:wsp>
                      <wps:cNvSpPr>
                        <a:extLst>
                          <a:ext uri="smNativeData">
                            <sm:smNativeData xmlns:sm="smNativeData" val="SMDATA_12_WEM/YRMAAAAlAAAAZAAAAA0AAAAAAAAAAAAAAAAAAAAAAAAAAAAAAAAAAAAAAAAAAAEAAABQAAAAAAAAAAAA4D8AAAAAAADgPwAAAAAAAOA/AAAAAAAA4D8AAAAAAADgPwAAAAAAAOA/AAAAAAAA4D8AAAAAAADgPwAAAAAAAOA/AAAAAAAA4D8CAAAAjAAAAAEAAAAAAAAA////AAAAAABk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RQAAAAigAAAgAAAAAAAAAAAAAAACAAAAbP///wAAAAACAAAArgAAAM8LAACPCQAABgAAAKAFAACFHwAAKAAAAAgAAAABAAAAAQAAAA=="/>
                          </a:ext>
                        </a:extLst>
                      </wps:cNvSpPr>
                      <wps:spPr>
                        <a:xfrm>
                          <a:off x="0" y="0"/>
                          <a:ext cx="1919605" cy="1553845"/>
                        </a:xfrm>
                        <a:prstGeom prst="rect">
                          <a:avLst/>
                        </a:prstGeom>
                        <a:solidFill>
                          <a:srgbClr val="FFFFFF">
                            <a:alpha val="0"/>
                          </a:srgbClr>
                        </a:solidFill>
                        <a:ln w="12700">
                          <a:noFill/>
                        </a:ln>
                      </wps:spPr>
                      <wps:txbx>
                        <w:txbxContent>
                          <w:p>
                            <w:pPr>
                              <w:rPr>
                                <w:sz w:val="20"/>
                                <w:u w:color="auto" w:val="single"/>
                              </w:rPr>
                            </w:pPr>
                            <w:r>
                              <w:rPr>
                                <w:sz w:val="20"/>
                                <w:u w:color="auto" w:val="single"/>
                              </w:rPr>
                              <w:t>Unternehmen:</w:t>
                            </w:r>
                          </w:p>
                          <w:p>
                            <w:pPr>
                              <w:rPr>
                                <w:sz w:val="20"/>
                                <w:u w:color="auto" w:val="single"/>
                              </w:rPr>
                            </w:pPr>
                            <w:r>
                              <w:rPr>
                                <w:sz w:val="20"/>
                                <w:u w:color="auto" w:val="single"/>
                              </w:rPr>
                            </w:r>
                          </w:p>
                          <w:p>
                            <w:pPr>
                              <w:pStyle w:val="para12"/>
                            </w:pPr>
                            <w:r>
                              <w:t>KANN GmbH Baustoffwerke</w:t>
                            </w:r>
                          </w:p>
                          <w:p>
                            <w:pPr>
                              <w:pStyle w:val="para12"/>
                            </w:pPr>
                            <w:r>
                              <w:t>Uwe Schmidt</w:t>
                            </w:r>
                          </w:p>
                          <w:p>
                            <w:pPr>
                              <w:pStyle w:val="para12"/>
                            </w:pPr>
                            <w:r>
                              <w:t>Bendorfer Straße</w:t>
                            </w:r>
                          </w:p>
                          <w:p>
                            <w:pPr>
                              <w:pStyle w:val="para12"/>
                            </w:pPr>
                            <w:r>
                              <w:t>D-56170 Bendorf-Mülhofen</w:t>
                            </w:r>
                          </w:p>
                          <w:p>
                            <w:pPr>
                              <w:pStyle w:val="para12"/>
                            </w:pPr>
                            <w:r>
                              <w:t>Tel.: 02622/707-119</w:t>
                            </w:r>
                          </w:p>
                          <w:p>
                            <w:pPr>
                              <w:pStyle w:val="para12"/>
                            </w:pPr>
                            <w:r>
                              <w:t>Fax: 02622/707-165</w:t>
                            </w:r>
                          </w:p>
                          <w:p>
                            <w:pPr>
                              <w:pStyle w:val="para12"/>
                            </w:pPr>
                            <w:r>
                              <w:t>E-Mail: uwe.schmidt@kann.de</w:t>
                            </w:r>
                          </w:p>
                          <w:p>
                            <w:pPr>
                              <w:pStyle w:val="para12"/>
                            </w:pPr>
                            <w:r>
                              <w:t>Internet: www.kann.de</w:t>
                            </w:r>
                          </w:p>
                          <w:p>
                            <w:pPr>
                              <w:pStyle w:val="para12"/>
                            </w:pPr>
                            <w:r/>
                          </w:p>
                          <w:p>
                            <w:pPr>
                              <w:pStyle w:val="para12"/>
                            </w:pPr>
                            <w:r/>
                          </w:p>
                        </w:txbxContent>
                      </wps:txbx>
                      <wps:bodyPr spcFirstLastPara="1" vertOverflow="clip" horzOverflow="clip" lIns="0" tIns="0" rIns="0" bIns="0" upright="1">
                        <a:prstTxWarp prst="textNoShape">
                          <a:avLst/>
                        </a:prstTxWarp>
                        <a:noAutofit/>
                      </wps:bodyPr>
                    </wps:wsp>
                  </a:graphicData>
                </a:graphic>
              </wp:anchor>
            </w:drawing>
          </mc:Choice>
          <mc:Fallback>
            <w:pict>
              <v:rect id="Textbox2" o:spid="_x0000_s1026" style="position:absolute;margin-left:-7.40pt;margin-top:8.70pt;width:151.15pt;height:122.35pt;z-index:251658246;mso-wrap-distance-left:9.05pt;mso-wrap-distance-top:0.00pt;mso-wrap-distance-right:9.05pt;mso-wrap-distance-bottom:0.00pt;mso-wrap-style:square" stroked="f" fillcolor="#ffffff" v:ext="SMDATA_12_WEM/YRMAAAAlAAAAZAAAAA0AAAAAAAAAAAAAAAAAAAAAAAAAAAAAAAAAAAAAAAAAAAEAAABQAAAAAAAAAAAA4D8AAAAAAADgPwAAAAAAAOA/AAAAAAAA4D8AAAAAAADgPwAAAAAAAOA/AAAAAAAA4D8AAAAAAADgPwAAAAAAAOA/AAAAAAAA4D8CAAAAjAAAAAEAAAAAAAAA////AAAAAABk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RQAAAAigAAAgAAAAAAAAAAAAAAACAAAAbP///wAAAAACAAAArgAAAM8LAACPCQAABgAAAKAFAACFHwAAKAAAAAgAAAABAAAAAQAAAA==" o:insetmode="custom">
                <v:fill color2="#000000" type="solid" opacity="0f" angle="90"/>
                <w10:wrap type="none" anchorx="text" anchory="text"/>
                <v:textbox inset="0.0pt,0.0pt,0.0pt,0.0pt">
                  <w:txbxContent>
                    <w:p>
                      <w:pPr>
                        <w:rPr>
                          <w:sz w:val="20"/>
                          <w:u w:color="auto" w:val="single"/>
                        </w:rPr>
                      </w:pPr>
                      <w:r>
                        <w:rPr>
                          <w:sz w:val="20"/>
                          <w:u w:color="auto" w:val="single"/>
                        </w:rPr>
                        <w:t>Unternehmen:</w:t>
                      </w:r>
                    </w:p>
                    <w:p>
                      <w:pPr>
                        <w:rPr>
                          <w:sz w:val="20"/>
                          <w:u w:color="auto" w:val="single"/>
                        </w:rPr>
                      </w:pPr>
                      <w:r>
                        <w:rPr>
                          <w:sz w:val="20"/>
                          <w:u w:color="auto" w:val="single"/>
                        </w:rPr>
                      </w:r>
                    </w:p>
                    <w:p>
                      <w:pPr>
                        <w:pStyle w:val="para12"/>
                      </w:pPr>
                      <w:r>
                        <w:t>KANN GmbH Baustoffwerke</w:t>
                      </w:r>
                    </w:p>
                    <w:p>
                      <w:pPr>
                        <w:pStyle w:val="para12"/>
                      </w:pPr>
                      <w:r>
                        <w:t>Uwe Schmidt</w:t>
                      </w:r>
                    </w:p>
                    <w:p>
                      <w:pPr>
                        <w:pStyle w:val="para12"/>
                      </w:pPr>
                      <w:r>
                        <w:t>Bendorfer Straße</w:t>
                      </w:r>
                    </w:p>
                    <w:p>
                      <w:pPr>
                        <w:pStyle w:val="para12"/>
                      </w:pPr>
                      <w:r>
                        <w:t>D-56170 Bendorf-Mülhofen</w:t>
                      </w:r>
                    </w:p>
                    <w:p>
                      <w:pPr>
                        <w:pStyle w:val="para12"/>
                      </w:pPr>
                      <w:r>
                        <w:t>Tel.: 02622/707-119</w:t>
                      </w:r>
                    </w:p>
                    <w:p>
                      <w:pPr>
                        <w:pStyle w:val="para12"/>
                      </w:pPr>
                      <w:r>
                        <w:t>Fax: 02622/707-165</w:t>
                      </w:r>
                    </w:p>
                    <w:p>
                      <w:pPr>
                        <w:pStyle w:val="para12"/>
                      </w:pPr>
                      <w:r>
                        <w:t>E-Mail: uwe.schmidt@kann.de</w:t>
                      </w:r>
                    </w:p>
                    <w:p>
                      <w:pPr>
                        <w:pStyle w:val="para12"/>
                      </w:pPr>
                      <w:r>
                        <w:t>Internet: www.kann.de</w:t>
                      </w:r>
                    </w:p>
                    <w:p>
                      <w:pPr>
                        <w:pStyle w:val="para12"/>
                      </w:pPr>
                      <w:r/>
                    </w:p>
                    <w:p>
                      <w:pPr>
                        <w:pStyle w:val="para12"/>
                      </w:pPr>
                      <w:r/>
                    </w:p>
                  </w:txbxContent>
                </v:textbox>
              </v:rect>
            </w:pict>
          </mc:Fallback>
        </mc:AlternateContent>
      </w:r>
      <w:r>
        <w:rPr>
          <w:noProof/>
        </w:rPr>
        <mc:AlternateContent>
          <mc:Choice Requires="wps">
            <w:drawing>
              <wp:anchor distT="0" distB="0" distL="114935" distR="114935" simplePos="0" relativeHeight="251658247" behindDoc="0" locked="0" layoutInCell="0" hidden="0" allowOverlap="1">
                <wp:simplePos x="0" y="0"/>
                <wp:positionH relativeFrom="column">
                  <wp:posOffset>2374900</wp:posOffset>
                </wp:positionH>
                <wp:positionV relativeFrom="paragraph">
                  <wp:posOffset>110490</wp:posOffset>
                </wp:positionV>
                <wp:extent cx="2285365" cy="1553845"/>
                <wp:effectExtent l="0" t="0" r="0" b="0"/>
                <wp:wrapNone/>
                <wp:docPr id="7" name="Textbox1"/>
                <wp:cNvGraphicFramePr/>
                <a:graphic xmlns:a="http://schemas.openxmlformats.org/drawingml/2006/main">
                  <a:graphicData uri="http://schemas.microsoft.com/office/word/2010/wordprocessingShape">
                    <wps:wsp>
                      <wps:cNvSpPr>
                        <a:extLst>
                          <a:ext uri="smNativeData">
                            <sm:smNativeData xmlns:sm="smNativeData" val="SMDATA_12_WEM/YRMAAAAlAAAAZAAAAE0AAAAAAAAAAAAAAAAAAAAAA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RQAAAAigAAAgAAAAAAAAAAAAAAACAAAAnA4AAAAAAAACAAAArgAAAA8OAACPCQAABgAAANAUAACFHwAAKAAAAAgAAAABAAAAAQAAAA=="/>
                          </a:ext>
                        </a:extLst>
                      </wps:cNvSpPr>
                      <wps:spPr>
                        <a:xfrm>
                          <a:off x="0" y="0"/>
                          <a:ext cx="2285365" cy="1553845"/>
                        </a:xfrm>
                        <a:prstGeom prst="rect">
                          <a:avLst/>
                        </a:prstGeom>
                        <a:solidFill>
                          <a:srgbClr val="FFFFFF"/>
                        </a:solidFill>
                        <a:ln w="12700">
                          <a:noFill/>
                        </a:ln>
                      </wps:spPr>
                      <wps:txbx>
                        <w:txbxContent>
                          <w:p>
                            <w:pPr>
                              <w:rPr>
                                <w:sz w:val="20"/>
                                <w:u w:color="auto" w:val="single"/>
                              </w:rPr>
                            </w:pPr>
                            <w:r>
                              <w:rPr>
                                <w:sz w:val="20"/>
                                <w:u w:color="auto" w:val="single"/>
                              </w:rPr>
                              <w:t>Presse:</w:t>
                            </w:r>
                          </w:p>
                          <w:p>
                            <w:pPr>
                              <w:rPr>
                                <w:sz w:val="20"/>
                                <w:u w:color="auto" w:val="single"/>
                              </w:rPr>
                            </w:pPr>
                            <w:r>
                              <w:rPr>
                                <w:sz w:val="20"/>
                                <w:u w:color="auto" w:val="single"/>
                              </w:rPr>
                            </w:r>
                          </w:p>
                          <w:p>
                            <w:pPr>
                              <w:pStyle w:val="para12"/>
                            </w:pPr>
                            <w:r>
                              <w:t>JUCA :&gt; entspannt kommunizieren</w:t>
                            </w:r>
                          </w:p>
                          <w:p>
                            <w:pPr>
                              <w:pStyle w:val="para12"/>
                            </w:pPr>
                            <w:r>
                              <w:t>Thomas Meiler</w:t>
                            </w:r>
                          </w:p>
                          <w:p>
                            <w:pPr>
                              <w:pStyle w:val="para12"/>
                            </w:pPr>
                            <w:r>
                              <w:t>Mossängsvägen 22</w:t>
                            </w:r>
                          </w:p>
                          <w:p>
                            <w:pPr>
                              <w:pStyle w:val="para12"/>
                            </w:pPr>
                            <w:r>
                              <w:t>68432 Munkfors</w:t>
                            </w:r>
                          </w:p>
                          <w:p>
                            <w:pPr>
                              <w:pStyle w:val="para12"/>
                            </w:pPr>
                            <w:r>
                              <w:t>Schweden</w:t>
                            </w:r>
                          </w:p>
                          <w:p>
                            <w:pPr>
                              <w:pStyle w:val="para12"/>
                            </w:pPr>
                            <w:r>
                              <w:t>Tel.: (0049) 01520-3552441</w:t>
                            </w:r>
                          </w:p>
                          <w:p>
                            <w:pPr>
                              <w:pStyle w:val="para12"/>
                            </w:pPr>
                            <w:r>
                              <w:t>E-Mail: thomas.meiler@ju-ca.com</w:t>
                            </w:r>
                          </w:p>
                          <w:p>
                            <w:pPr>
                              <w:pStyle w:val="para12"/>
                            </w:pPr>
                            <w:r>
                              <w:t>Internet: www.ju-ca.com</w:t>
                            </w:r>
                          </w:p>
                        </w:txbxContent>
                      </wps:txbx>
                      <wps:bodyPr spcFirstLastPara="1" vertOverflow="clip" horzOverflow="clip" lIns="0" tIns="0" rIns="0" bIns="0" upright="1">
                        <a:prstTxWarp prst="textNoShape">
                          <a:avLst/>
                        </a:prstTxWarp>
                        <a:noAutofit/>
                      </wps:bodyPr>
                    </wps:wsp>
                  </a:graphicData>
                </a:graphic>
              </wp:anchor>
            </w:drawing>
          </mc:Choice>
          <mc:Fallback>
            <w:pict>
              <v:rect id="Textbox1" o:spid="_x0000_s1027" style="position:absolute;margin-left:187.00pt;margin-top:8.70pt;width:179.95pt;height:122.35pt;z-index:251658247;mso-wrap-distance-left:9.05pt;mso-wrap-distance-top:0.00pt;mso-wrap-distance-right:9.05pt;mso-wrap-distance-bottom:0.00pt;mso-wrap-style:square" stroked="f" fillcolor="#ffffff" v:ext="SMDATA_12_WEM/YRMAAAAlAAAAZAAAAE0AAAAAAAAAAAAAAAAAAAAAA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RQAAAAigAAAgAAAAAAAAAAAAAAACAAAAnA4AAAAAAAACAAAArgAAAA8OAACPCQAABgAAANAUAACFHwAAKAAAAAgAAAABAAAAAQAAAA==" o:insetmode="custom">
                <v:fill color2="#000000" type="solid" angle="90"/>
                <w10:wrap type="none" anchorx="text" anchory="text"/>
                <v:textbox inset="0.0pt,0.0pt,0.0pt,0.0pt">
                  <w:txbxContent>
                    <w:p>
                      <w:pPr>
                        <w:rPr>
                          <w:sz w:val="20"/>
                          <w:u w:color="auto" w:val="single"/>
                        </w:rPr>
                      </w:pPr>
                      <w:r>
                        <w:rPr>
                          <w:sz w:val="20"/>
                          <w:u w:color="auto" w:val="single"/>
                        </w:rPr>
                        <w:t>Presse:</w:t>
                      </w:r>
                    </w:p>
                    <w:p>
                      <w:pPr>
                        <w:rPr>
                          <w:sz w:val="20"/>
                          <w:u w:color="auto" w:val="single"/>
                        </w:rPr>
                      </w:pPr>
                      <w:r>
                        <w:rPr>
                          <w:sz w:val="20"/>
                          <w:u w:color="auto" w:val="single"/>
                        </w:rPr>
                      </w:r>
                    </w:p>
                    <w:p>
                      <w:pPr>
                        <w:pStyle w:val="para12"/>
                      </w:pPr>
                      <w:r>
                        <w:t>JUCA :&gt; entspannt kommunizieren</w:t>
                      </w:r>
                    </w:p>
                    <w:p>
                      <w:pPr>
                        <w:pStyle w:val="para12"/>
                      </w:pPr>
                      <w:r>
                        <w:t>Thomas Meiler</w:t>
                      </w:r>
                    </w:p>
                    <w:p>
                      <w:pPr>
                        <w:pStyle w:val="para12"/>
                      </w:pPr>
                      <w:r>
                        <w:t>Mossängsvägen 22</w:t>
                      </w:r>
                    </w:p>
                    <w:p>
                      <w:pPr>
                        <w:pStyle w:val="para12"/>
                      </w:pPr>
                      <w:r>
                        <w:t>68432 Munkfors</w:t>
                      </w:r>
                    </w:p>
                    <w:p>
                      <w:pPr>
                        <w:pStyle w:val="para12"/>
                      </w:pPr>
                      <w:r>
                        <w:t>Schweden</w:t>
                      </w:r>
                    </w:p>
                    <w:p>
                      <w:pPr>
                        <w:pStyle w:val="para12"/>
                      </w:pPr>
                      <w:r>
                        <w:t>Tel.: (0049) 01520-3552441</w:t>
                      </w:r>
                    </w:p>
                    <w:p>
                      <w:pPr>
                        <w:pStyle w:val="para12"/>
                      </w:pPr>
                      <w:r>
                        <w:t>E-Mail: thomas.meiler@ju-ca.com</w:t>
                      </w:r>
                    </w:p>
                    <w:p>
                      <w:pPr>
                        <w:pStyle w:val="para12"/>
                      </w:pPr>
                      <w:r>
                        <w:t>Internet: www.ju-ca.com</w:t>
                      </w:r>
                    </w:p>
                  </w:txbxContent>
                </v:textbox>
              </v:rect>
            </w:pict>
          </mc:Fallback>
        </mc:AlternateContent>
      </w:r>
      <w:r>
        <w:rPr>
          <w:sz w:val="18"/>
        </w:rPr>
      </w:r>
    </w:p>
    <w:p>
      <w:pPr>
        <w:pStyle w:val="para9"/>
        <w:spacing/>
        <w:jc w:val="both"/>
        <w:tabs defTabSz="708">
          <w:tab w:val="clear" w:pos="4536" w:leader="none"/>
          <w:tab w:val="clear" w:pos="9072" w:leader="none"/>
        </w:tabs>
      </w:pPr>
      <w:r/>
    </w:p>
    <w:sectPr>
      <w:footnotePr>
        <w:pos w:val="pageBottom"/>
        <w:numFmt w:val="decimal"/>
        <w:numStart w:val="1"/>
        <w:numRestart w:val="continuous"/>
      </w:footnotePr>
      <w:endnotePr>
        <w:pos w:val="docEnd"/>
        <w:numFmt w:val="decimal"/>
        <w:numStart w:val="1"/>
        <w:numRestart w:val="continuous"/>
      </w:endnotePr>
      <w:headerReference w:type="default" r:id="rId14"/>
      <w:footerReference w:type="default" r:id="rId15"/>
      <w:headerReference w:type="first" r:id="rId16"/>
      <w:footerReference w:type="first" r:id="rId17"/>
      <w:type w:val="nextPage"/>
      <w:pgSz w:h="16838" w:w="11906"/>
      <w:pgMar w:left="1588" w:top="3402" w:right="3799" w:bottom="2552" w:header="2552" w:footer="1701"/>
      <w:paperSrc w:first="0" w:other="0" a="0" b="0"/>
      <w:pgNumType w:fmt="decimal"/>
      <w:titlePg/>
      <w:tmGutter w:val="3"/>
      <w:mirrorMargins w:val="0"/>
      <w:tmSection w:h="-2">
        <w:tmHeader w:id="0" w:h="0" edge="2552" text="0">
          <w:shd w:val="none"/>
        </w:tmHeader>
        <w:tmFooter w:id="0" w:h="0" edge="1701" text="0">
          <w:shd w:val="none"/>
        </w:tmFooter>
        <w:tmHeader w:id="2" w:h="0" edge="2552" text="0">
          <w:shd w:val="none"/>
        </w:tmHeader>
        <w:tmFooter w:id="2" w:h="0" edge="1701"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Microsoft YaHei">
    <w:panose1 w:val="020B0503020204020204"/>
    <w:charset w:val="86"/>
    <w:family w:val="swiss"/>
    <w:pitch w:val="default"/>
  </w:font>
  <w:font w:name="Tahoma">
    <w:panose1 w:val="020B0604030504040204"/>
    <w:charset w:val="00"/>
    <w:family w:val="swiss"/>
    <w:pitch w:val="default"/>
  </w:font>
  <w:font w:name="Arimo">
    <w:panose1 w:val="020B0604020202020204"/>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10"/>
      <w:spacing/>
      <w:jc w:val="right"/>
      <w:rPr>
        <w:sz w:val="18"/>
      </w:rPr>
    </w:pPr>
    <w:r>
      <w:rPr>
        <w:sz w:val="18"/>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10"/>
      <w:spacing/>
      <w:jc w:val="right"/>
    </w:pPr>
    <w:r>
      <w:rPr>
        <w:sz w:val="18"/>
      </w:rPr>
      <w:t>../2</w:t>
    </w: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9"/>
      <w:ind w:right="424"/>
      <w:spacing/>
      <w:jc w:val="right"/>
    </w:pPr>
    <w:r>
      <w:rPr>
        <w:sz w:val="18"/>
      </w:rPr>
      <w:t xml:space="preserve">Seite </w:t>
    </w:r>
    <w:r>
      <w:rPr>
        <w:sz w:val="18"/>
      </w:rPr>
      <w:fldChar w:fldCharType="begin"/>
      <w:instrText xml:space="preserve"> PAGE </w:instrText>
      <w:fldChar w:fldCharType="separate"/>
      <w:t>4</w:t>
      <w:fldChar w:fldCharType="end"/>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9"/>
    </w:pPr>
    <w:r>
      <w:rPr>
        <w:rFonts w:ascii="Arimo" w:hAnsi="Arimo" w:cs="Arimo"/>
        <w:spacing w:val="37"/>
        <w:sz w:val="24"/>
      </w:rPr>
      <w:t>Presseinformation Kann GmbH Baustoffwerke</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merierungsliste 1"/>
    <w:lvl w:ilvl="0">
      <w:start w:val="1"/>
      <w:numFmt w:val="none"/>
      <w:pStyle w:val="para1"/>
      <w:suff w:val="nothing"/>
      <w:lvlText w:val=""/>
      <w:lvlJc w:val="left"/>
      <w:pPr>
        <w:ind w:left="0" w:hanging="0"/>
      </w:pPr>
    </w:lvl>
    <w:lvl w:ilvl="1">
      <w:start w:val="1"/>
      <w:numFmt w:val="none"/>
      <w:pStyle w:val="para2"/>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pStyle w:val="para3"/>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multiLevelType w:val="hybridMultilevel"/>
    <w:name w:val="Nummerierungsliste 2"/>
    <w:lvl w:ilvl="0">
      <w:start w:val="0"/>
      <w:numFmt w:val="none"/>
      <w:suff w:val="tab"/>
      <w:lvlText w:val=""/>
      <w:lvlJc w:val="left"/>
      <w:pPr>
        <w:ind w:left="0" w:hanging="0"/>
      </w:pPr>
    </w:lvl>
    <w:lvl w:ilvl="1">
      <w:start w:val="0"/>
      <w:numFmt w:val="none"/>
      <w:suff w:val="tab"/>
      <w:lvlText w:val=""/>
      <w:lvlJc w:val="left"/>
      <w:pPr>
        <w:ind w:left="0" w:hanging="0"/>
      </w:pPr>
    </w:lvl>
    <w:lvl w:ilvl="2">
      <w:start w:val="0"/>
      <w:numFmt w:val="none"/>
      <w:suff w:val="tab"/>
      <w:lvlText w:val=""/>
      <w:lvlJc w:val="left"/>
      <w:pPr>
        <w:ind w:left="0" w:hanging="0"/>
      </w:pPr>
    </w:lvl>
    <w:lvl w:ilvl="3">
      <w:start w:val="0"/>
      <w:numFmt w:val="none"/>
      <w:suff w:val="tab"/>
      <w:lvlText w:val=""/>
      <w:lvlJc w:val="left"/>
      <w:pPr>
        <w:ind w:left="0" w:hanging="0"/>
      </w:pPr>
    </w:lvl>
    <w:lvl w:ilvl="4">
      <w:start w:val="0"/>
      <w:numFmt w:val="none"/>
      <w:suff w:val="tab"/>
      <w:lvlText w:val=""/>
      <w:lvlJc w:val="left"/>
      <w:pPr>
        <w:ind w:left="0" w:hanging="0"/>
      </w:pPr>
    </w:lvl>
    <w:lvl w:ilvl="5">
      <w:start w:val="0"/>
      <w:numFmt w:val="none"/>
      <w:suff w:val="tab"/>
      <w:lvlText w:val=""/>
      <w:lvlJc w:val="left"/>
      <w:pPr>
        <w:ind w:left="0" w:hanging="0"/>
      </w:pPr>
    </w:lvl>
    <w:lvl w:ilvl="6">
      <w:start w:val="0"/>
      <w:numFmt w:val="none"/>
      <w:suff w:val="tab"/>
      <w:lvlText w:val=""/>
      <w:lvlJc w:val="left"/>
      <w:pPr>
        <w:ind w:left="0" w:hanging="0"/>
      </w:pPr>
    </w:lvl>
    <w:lvl w:ilvl="7">
      <w:start w:val="0"/>
      <w:numFmt w:val="none"/>
      <w:suff w:val="tab"/>
      <w:lvlText w:val=""/>
      <w:lvlJc w:val="left"/>
      <w:pPr>
        <w:ind w:left="0" w:hanging="0"/>
      </w:pPr>
    </w:lvl>
    <w:lvl w:ilvl="8">
      <w:start w:val="0"/>
      <w:numFmt w:val="none"/>
      <w:suff w:val="tab"/>
      <w:lvlText w:val=""/>
      <w:lvlJc w:val="left"/>
      <w:pPr>
        <w:ind w:left="0" w:hanging="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view w:val="print"/>
  <w:displayBackgroundShape/>
  <w:defaultTabStop w:val="708"/>
  <w:autoHyphenation w:val="1"/>
  <w:doNotShadeFormData w:val="0"/>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5121"/>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4"/>
      <w:tmLastPosIdx w:val="270"/>
    </w:tmLastPosCaret>
    <w:tmLastPosAnchor>
      <w:tmLastPosPgfIdx w:val="0"/>
      <w:tmLastPosIdx w:val="0"/>
    </w:tmLastPosAnchor>
    <w:tmLastPosTblRect w:left="0" w:top="0" w:right="0" w:bottom="0"/>
  </w:tmLastPos>
  <w:tmAppRevision w:date="1631535960" w:val="982"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0"/>
        <w:szCs w:val="20"/>
        <w:lang w:val="de-de"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Arial" w:hAnsi="Arial" w:cs="Arial"/>
      <w:sz w:val="22"/>
    </w:rPr>
  </w:style>
  <w:style w:type="paragraph" w:styleId="para1">
    <w:name w:val="heading 1"/>
    <w:qFormat/>
    <w:basedOn w:val="para0"/>
    <w:next w:val="para0"/>
    <w:pPr>
      <w:numPr>
        <w:ilvl w:val="0"/>
        <w:numId w:val="1"/>
      </w:numPr>
      <w:ind w:left="432" w:hanging="432"/>
      <w:spacing/>
      <w:jc w:val="both"/>
      <w:keepNext/>
      <w:outlineLvl w:val="0"/>
      <w:tabs defTabSz="708">
        <w:tab w:val="left" w:pos="432" w:leader="none"/>
      </w:tabs>
    </w:pPr>
    <w:rPr>
      <w:i/>
      <w:sz w:val="24"/>
    </w:rPr>
  </w:style>
  <w:style w:type="paragraph" w:styleId="para2">
    <w:name w:val="heading 2"/>
    <w:qFormat/>
    <w:basedOn w:val="para0"/>
    <w:next w:val="para0"/>
    <w:pPr>
      <w:numPr>
        <w:ilvl w:val="1"/>
        <w:numId w:val="1"/>
      </w:numPr>
      <w:ind w:left="576" w:hanging="576"/>
      <w:spacing w:before="240" w:after="60"/>
      <w:keepNext/>
      <w:outlineLvl w:val="1"/>
      <w:tabs defTabSz="708">
        <w:tab w:val="left" w:pos="576" w:leader="none"/>
      </w:tabs>
    </w:pPr>
    <w:rPr>
      <w:b/>
      <w:i/>
      <w:sz w:val="28"/>
    </w:rPr>
  </w:style>
  <w:style w:type="paragraph" w:styleId="para3">
    <w:name w:val="heading 5"/>
    <w:qFormat/>
    <w:basedOn w:val="para0"/>
    <w:next w:val="para0"/>
    <w:pPr>
      <w:numPr>
        <w:ilvl w:val="4"/>
        <w:numId w:val="1"/>
      </w:numPr>
      <w:ind w:left="1008" w:hanging="1008"/>
      <w:keepNext/>
      <w:outlineLvl w:val="4"/>
      <w:widowControl w:val="0"/>
      <w:tabs defTabSz="708">
        <w:tab w:val="left" w:pos="644" w:leader="none"/>
        <w:tab w:val="left" w:pos="1008" w:leader="none"/>
      </w:tabs>
    </w:pPr>
    <w:rPr>
      <w:vanish w:val="1"/>
      <w:sz w:val="14"/>
    </w:rPr>
  </w:style>
  <w:style w:type="paragraph" w:styleId="para4" w:customStyle="1">
    <w:name w:val="Überschrift"/>
    <w:qFormat/>
    <w:basedOn w:val="para0"/>
    <w:next w:val="para5"/>
    <w:pPr>
      <w:spacing w:before="240" w:after="120"/>
      <w:keepNext/>
    </w:pPr>
    <w:rPr>
      <w:rFonts w:eastAsia="Microsoft YaHei"/>
      <w:sz w:val="28"/>
      <w:szCs w:val="28"/>
    </w:rPr>
  </w:style>
  <w:style w:type="paragraph" w:styleId="para5">
    <w:name w:val="Body Text"/>
    <w:qFormat/>
    <w:basedOn w:val="para0"/>
    <w:pPr>
      <w:spacing w:line="360" w:lineRule="auto"/>
      <w:jc w:val="both"/>
    </w:pPr>
    <w:rPr>
      <w:b/>
      <w:sz w:val="30"/>
    </w:rPr>
  </w:style>
  <w:style w:type="paragraph" w:styleId="para6">
    <w:name w:val="List"/>
    <w:qFormat/>
    <w:basedOn w:val="para5"/>
  </w:style>
  <w:style w:type="paragraph" w:styleId="para7" w:customStyle="1">
    <w:name w:val="Beschriftung*"/>
    <w:qFormat/>
    <w:basedOn w:val="para0"/>
    <w:pPr>
      <w:spacing w:before="120" w:after="120"/>
      <w:suppressLineNumbers/>
    </w:pPr>
    <w:rPr>
      <w:i/>
      <w:sz w:val="24"/>
      <w:szCs w:val="24"/>
    </w:rPr>
  </w:style>
  <w:style w:type="paragraph" w:styleId="para8" w:customStyle="1">
    <w:name w:val="Verzeichnis"/>
    <w:qFormat/>
    <w:basedOn w:val="para0"/>
    <w:pPr>
      <w:suppressLineNumbers/>
    </w:pPr>
  </w:style>
  <w:style w:type="paragraph" w:styleId="para9">
    <w:name w:val="Header"/>
    <w:qFormat/>
    <w:basedOn w:val="para0"/>
    <w:pPr>
      <w:tabs defTabSz="708">
        <w:tab w:val="center" w:pos="4536" w:leader="none"/>
        <w:tab w:val="right" w:pos="9072" w:leader="none"/>
      </w:tabs>
    </w:pPr>
  </w:style>
  <w:style w:type="paragraph" w:styleId="para10">
    <w:name w:val="Footer"/>
    <w:qFormat/>
    <w:basedOn w:val="para0"/>
    <w:pPr>
      <w:tabs defTabSz="708">
        <w:tab w:val="center" w:pos="4536" w:leader="none"/>
        <w:tab w:val="right" w:pos="9072" w:leader="none"/>
      </w:tabs>
    </w:pPr>
  </w:style>
  <w:style w:type="paragraph" w:styleId="para11" w:customStyle="1">
    <w:name w:val="Kommentartext*"/>
    <w:qFormat/>
    <w:basedOn w:val="para0"/>
    <w:rPr>
      <w:sz w:val="20"/>
    </w:rPr>
  </w:style>
  <w:style w:type="paragraph" w:styleId="para12" w:customStyle="1">
    <w:name w:val="Textkörper 2*"/>
    <w:qFormat/>
    <w:basedOn w:val="para0"/>
    <w:rPr>
      <w:sz w:val="20"/>
    </w:rPr>
  </w:style>
  <w:style w:type="paragraph" w:styleId="para13" w:customStyle="1">
    <w:name w:val="western"/>
    <w:qFormat/>
    <w:basedOn w:val="para0"/>
    <w:pPr>
      <w:spacing w:before="100" w:line="363" w:lineRule="atLeast"/>
      <w:jc w:val="both"/>
    </w:pPr>
    <w:rPr>
      <w:rFonts w:ascii="Times New Roman" w:hAnsi="Times New Roman" w:cs="Times New Roman"/>
      <w:sz w:val="26"/>
      <w:szCs w:val="26"/>
    </w:rPr>
  </w:style>
  <w:style w:type="paragraph" w:styleId="para14">
    <w:name w:val="Balloon Text"/>
    <w:qFormat/>
    <w:basedOn w:val="para0"/>
    <w:rPr>
      <w:rFonts w:ascii="Tahoma" w:hAnsi="Tahoma" w:cs="Tahoma"/>
      <w:sz w:val="16"/>
      <w:szCs w:val="16"/>
    </w:rPr>
  </w:style>
  <w:style w:type="paragraph" w:styleId="para15" w:customStyle="1">
    <w:name w:val="Rahmeninhalt"/>
    <w:qFormat/>
    <w:basedOn w:val="para5"/>
  </w:style>
  <w:style w:type="character" w:styleId="char0" w:default="1">
    <w:name w:val="Default Paragraph Font"/>
  </w:style>
  <w:style w:type="character" w:styleId="char1" w:customStyle="1">
    <w:name w:val="WW8Num1z0"/>
  </w:style>
  <w:style w:type="character" w:styleId="char2" w:customStyle="1">
    <w:name w:val="WW8Num1z1"/>
  </w:style>
  <w:style w:type="character" w:styleId="char3" w:customStyle="1">
    <w:name w:val="WW8Num1z2"/>
  </w:style>
  <w:style w:type="character" w:styleId="char4" w:customStyle="1">
    <w:name w:val="WW8Num1z3"/>
  </w:style>
  <w:style w:type="character" w:styleId="char5" w:customStyle="1">
    <w:name w:val="WW8Num1z4"/>
  </w:style>
  <w:style w:type="character" w:styleId="char6" w:customStyle="1">
    <w:name w:val="WW8Num1z5"/>
  </w:style>
  <w:style w:type="character" w:styleId="char7" w:customStyle="1">
    <w:name w:val="WW8Num1z6"/>
  </w:style>
  <w:style w:type="character" w:styleId="char8" w:customStyle="1">
    <w:name w:val="WW8Num1z7"/>
  </w:style>
  <w:style w:type="character" w:styleId="char9" w:customStyle="1">
    <w:name w:val="WW8Num1z8"/>
  </w:style>
  <w:style w:type="character" w:styleId="char10" w:customStyle="1">
    <w:name w:val="Absatz-Standardschriftart*"/>
  </w:style>
  <w:style w:type="character" w:styleId="char11">
    <w:name w:val="Hyperlink"/>
    <w:rPr>
      <w:color w:val="0000ff"/>
      <w:u w:color="auto" w:val="single"/>
    </w:rPr>
  </w:style>
  <w:style w:type="character" w:styleId="char12">
    <w:name w:val="FollowedHyperlink"/>
    <w:rPr>
      <w:color w:val="7f007f"/>
      <w:u w:color="auto" w:val="single"/>
    </w:rPr>
  </w:style>
  <w:style w:type="character" w:styleId="char13" w:customStyle="1">
    <w:name w:val="Kommentarzeichen*"/>
    <w:rPr>
      <w:sz w:val="16"/>
      <w:szCs w:val="16"/>
    </w:rPr>
  </w:style>
  <w:style w:type="character" w:styleId="char14" w:customStyle="1">
    <w:name w:val="Sprechblasentext Zchn"/>
    <w:rPr>
      <w:rFonts w:ascii="Tahoma" w:hAnsi="Tahoma" w:cs="Tahoma"/>
      <w:sz w:val="16"/>
      <w:szCs w:val="16"/>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0"/>
        <w:szCs w:val="20"/>
        <w:lang w:val="de-de"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Arial" w:hAnsi="Arial" w:cs="Arial"/>
      <w:sz w:val="22"/>
    </w:rPr>
  </w:style>
  <w:style w:type="paragraph" w:styleId="para1">
    <w:name w:val="heading 1"/>
    <w:qFormat/>
    <w:basedOn w:val="para0"/>
    <w:next w:val="para0"/>
    <w:pPr>
      <w:numPr>
        <w:ilvl w:val="0"/>
        <w:numId w:val="1"/>
      </w:numPr>
      <w:ind w:left="432" w:hanging="432"/>
      <w:spacing/>
      <w:jc w:val="both"/>
      <w:keepNext/>
      <w:outlineLvl w:val="0"/>
      <w:tabs defTabSz="708">
        <w:tab w:val="left" w:pos="432" w:leader="none"/>
      </w:tabs>
    </w:pPr>
    <w:rPr>
      <w:i/>
      <w:sz w:val="24"/>
    </w:rPr>
  </w:style>
  <w:style w:type="paragraph" w:styleId="para2">
    <w:name w:val="heading 2"/>
    <w:qFormat/>
    <w:basedOn w:val="para0"/>
    <w:next w:val="para0"/>
    <w:pPr>
      <w:numPr>
        <w:ilvl w:val="1"/>
        <w:numId w:val="1"/>
      </w:numPr>
      <w:ind w:left="576" w:hanging="576"/>
      <w:spacing w:before="240" w:after="60"/>
      <w:keepNext/>
      <w:outlineLvl w:val="1"/>
      <w:tabs defTabSz="708">
        <w:tab w:val="left" w:pos="576" w:leader="none"/>
      </w:tabs>
    </w:pPr>
    <w:rPr>
      <w:b/>
      <w:i/>
      <w:sz w:val="28"/>
    </w:rPr>
  </w:style>
  <w:style w:type="paragraph" w:styleId="para3">
    <w:name w:val="heading 5"/>
    <w:qFormat/>
    <w:basedOn w:val="para0"/>
    <w:next w:val="para0"/>
    <w:pPr>
      <w:numPr>
        <w:ilvl w:val="4"/>
        <w:numId w:val="1"/>
      </w:numPr>
      <w:ind w:left="1008" w:hanging="1008"/>
      <w:keepNext/>
      <w:outlineLvl w:val="4"/>
      <w:widowControl w:val="0"/>
      <w:tabs defTabSz="708">
        <w:tab w:val="left" w:pos="644" w:leader="none"/>
        <w:tab w:val="left" w:pos="1008" w:leader="none"/>
      </w:tabs>
    </w:pPr>
    <w:rPr>
      <w:vanish w:val="1"/>
      <w:sz w:val="14"/>
    </w:rPr>
  </w:style>
  <w:style w:type="paragraph" w:styleId="para4" w:customStyle="1">
    <w:name w:val="Überschrift"/>
    <w:qFormat/>
    <w:basedOn w:val="para0"/>
    <w:next w:val="para5"/>
    <w:pPr>
      <w:spacing w:before="240" w:after="120"/>
      <w:keepNext/>
    </w:pPr>
    <w:rPr>
      <w:rFonts w:eastAsia="Microsoft YaHei"/>
      <w:sz w:val="28"/>
      <w:szCs w:val="28"/>
    </w:rPr>
  </w:style>
  <w:style w:type="paragraph" w:styleId="para5">
    <w:name w:val="Body Text"/>
    <w:qFormat/>
    <w:basedOn w:val="para0"/>
    <w:pPr>
      <w:spacing w:line="360" w:lineRule="auto"/>
      <w:jc w:val="both"/>
    </w:pPr>
    <w:rPr>
      <w:b/>
      <w:sz w:val="30"/>
    </w:rPr>
  </w:style>
  <w:style w:type="paragraph" w:styleId="para6">
    <w:name w:val="List"/>
    <w:qFormat/>
    <w:basedOn w:val="para5"/>
  </w:style>
  <w:style w:type="paragraph" w:styleId="para7" w:customStyle="1">
    <w:name w:val="Beschriftung*"/>
    <w:qFormat/>
    <w:basedOn w:val="para0"/>
    <w:pPr>
      <w:spacing w:before="120" w:after="120"/>
      <w:suppressLineNumbers/>
    </w:pPr>
    <w:rPr>
      <w:i/>
      <w:sz w:val="24"/>
      <w:szCs w:val="24"/>
    </w:rPr>
  </w:style>
  <w:style w:type="paragraph" w:styleId="para8" w:customStyle="1">
    <w:name w:val="Verzeichnis"/>
    <w:qFormat/>
    <w:basedOn w:val="para0"/>
    <w:pPr>
      <w:suppressLineNumbers/>
    </w:pPr>
  </w:style>
  <w:style w:type="paragraph" w:styleId="para9">
    <w:name w:val="Header"/>
    <w:qFormat/>
    <w:basedOn w:val="para0"/>
    <w:pPr>
      <w:tabs defTabSz="708">
        <w:tab w:val="center" w:pos="4536" w:leader="none"/>
        <w:tab w:val="right" w:pos="9072" w:leader="none"/>
      </w:tabs>
    </w:pPr>
  </w:style>
  <w:style w:type="paragraph" w:styleId="para10">
    <w:name w:val="Footer"/>
    <w:qFormat/>
    <w:basedOn w:val="para0"/>
    <w:pPr>
      <w:tabs defTabSz="708">
        <w:tab w:val="center" w:pos="4536" w:leader="none"/>
        <w:tab w:val="right" w:pos="9072" w:leader="none"/>
      </w:tabs>
    </w:pPr>
  </w:style>
  <w:style w:type="paragraph" w:styleId="para11" w:customStyle="1">
    <w:name w:val="Kommentartext*"/>
    <w:qFormat/>
    <w:basedOn w:val="para0"/>
    <w:rPr>
      <w:sz w:val="20"/>
    </w:rPr>
  </w:style>
  <w:style w:type="paragraph" w:styleId="para12" w:customStyle="1">
    <w:name w:val="Textkörper 2*"/>
    <w:qFormat/>
    <w:basedOn w:val="para0"/>
    <w:rPr>
      <w:sz w:val="20"/>
    </w:rPr>
  </w:style>
  <w:style w:type="paragraph" w:styleId="para13" w:customStyle="1">
    <w:name w:val="western"/>
    <w:qFormat/>
    <w:basedOn w:val="para0"/>
    <w:pPr>
      <w:spacing w:before="100" w:line="363" w:lineRule="atLeast"/>
      <w:jc w:val="both"/>
    </w:pPr>
    <w:rPr>
      <w:rFonts w:ascii="Times New Roman" w:hAnsi="Times New Roman" w:cs="Times New Roman"/>
      <w:sz w:val="26"/>
      <w:szCs w:val="26"/>
    </w:rPr>
  </w:style>
  <w:style w:type="paragraph" w:styleId="para14">
    <w:name w:val="Balloon Text"/>
    <w:qFormat/>
    <w:basedOn w:val="para0"/>
    <w:rPr>
      <w:rFonts w:ascii="Tahoma" w:hAnsi="Tahoma" w:cs="Tahoma"/>
      <w:sz w:val="16"/>
      <w:szCs w:val="16"/>
    </w:rPr>
  </w:style>
  <w:style w:type="paragraph" w:styleId="para15" w:customStyle="1">
    <w:name w:val="Rahmeninhalt"/>
    <w:qFormat/>
    <w:basedOn w:val="para5"/>
  </w:style>
  <w:style w:type="character" w:styleId="char0" w:default="1">
    <w:name w:val="Default Paragraph Font"/>
  </w:style>
  <w:style w:type="character" w:styleId="char1" w:customStyle="1">
    <w:name w:val="WW8Num1z0"/>
  </w:style>
  <w:style w:type="character" w:styleId="char2" w:customStyle="1">
    <w:name w:val="WW8Num1z1"/>
  </w:style>
  <w:style w:type="character" w:styleId="char3" w:customStyle="1">
    <w:name w:val="WW8Num1z2"/>
  </w:style>
  <w:style w:type="character" w:styleId="char4" w:customStyle="1">
    <w:name w:val="WW8Num1z3"/>
  </w:style>
  <w:style w:type="character" w:styleId="char5" w:customStyle="1">
    <w:name w:val="WW8Num1z4"/>
  </w:style>
  <w:style w:type="character" w:styleId="char6" w:customStyle="1">
    <w:name w:val="WW8Num1z5"/>
  </w:style>
  <w:style w:type="character" w:styleId="char7" w:customStyle="1">
    <w:name w:val="WW8Num1z6"/>
  </w:style>
  <w:style w:type="character" w:styleId="char8" w:customStyle="1">
    <w:name w:val="WW8Num1z7"/>
  </w:style>
  <w:style w:type="character" w:styleId="char9" w:customStyle="1">
    <w:name w:val="WW8Num1z8"/>
  </w:style>
  <w:style w:type="character" w:styleId="char10" w:customStyle="1">
    <w:name w:val="Absatz-Standardschriftart*"/>
  </w:style>
  <w:style w:type="character" w:styleId="char11">
    <w:name w:val="Hyperlink"/>
    <w:rPr>
      <w:color w:val="0000ff"/>
      <w:u w:color="auto" w:val="single"/>
    </w:rPr>
  </w:style>
  <w:style w:type="character" w:styleId="char12">
    <w:name w:val="FollowedHyperlink"/>
    <w:rPr>
      <w:color w:val="7f007f"/>
      <w:u w:color="auto" w:val="single"/>
    </w:rPr>
  </w:style>
  <w:style w:type="character" w:styleId="char13" w:customStyle="1">
    <w:name w:val="Kommentarzeichen*"/>
    <w:rPr>
      <w:sz w:val="16"/>
      <w:szCs w:val="16"/>
    </w:rPr>
  </w:style>
  <w:style w:type="character" w:styleId="char14" w:customStyle="1">
    <w:name w:val="Sprechblasentext Zchn"/>
    <w:rPr>
      <w:rFonts w:ascii="Tahoma" w:hAnsi="Tahoma" w:cs="Tahoma"/>
      <w:sz w:val="16"/>
      <w:szCs w:val="16"/>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www.kann.de"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imes New Roman"/>
        <a:cs typeface="Arial"/>
      </a:majorFont>
      <a:minorFont>
        <a:latin typeface="Arial"/>
        <a:ea typeface="Times New Roman"/>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dc:title>
  <dc:subject/>
  <dc:creator>Thomas Meiler</dc:creator>
  <cp:keywords/>
  <dc:description/>
  <cp:lastModifiedBy>Schmidt, Uwe (KANN Baustoffwerke)</cp:lastModifiedBy>
  <cp:revision>5</cp:revision>
  <cp:lastPrinted>2021-09-13T10:25:00Z</cp:lastPrinted>
  <dcterms:created xsi:type="dcterms:W3CDTF">2021-09-13T10:26:00Z</dcterms:created>
  <dcterms:modified xsi:type="dcterms:W3CDTF">2021-09-13T12:26:00Z</dcterms:modified>
</cp:coreProperties>
</file>